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6E1E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关于本溪满族自治县</w:t>
      </w:r>
    </w:p>
    <w:p w14:paraId="0004483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2024年财政决</w:t>
      </w:r>
      <w:bookmarkStart w:id="9" w:name="_GoBack"/>
      <w:bookmarkEnd w:id="9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算的报告</w:t>
      </w:r>
    </w:p>
    <w:p w14:paraId="2DB91156">
      <w:pPr>
        <w:spacing w:line="6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—</w:t>
      </w:r>
      <w:r>
        <w:rPr>
          <w:rFonts w:hint="default" w:ascii="Times New Roman" w:hAnsi="Times New Roman" w:eastAsia="楷体_GB2312" w:cs="Times New Roman"/>
          <w:sz w:val="32"/>
          <w:szCs w:val="32"/>
        </w:rPr>
        <w:t>2025年7月28日在县第八届人大常委会第三十四次会议上</w:t>
      </w:r>
    </w:p>
    <w:p w14:paraId="52CA1947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本溪满族自治县财政局党组书记、局长 于凤海</w:t>
      </w:r>
    </w:p>
    <w:p w14:paraId="31F7F0CC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 w14:paraId="79EF5349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主任、副主任，各位委员：</w:t>
      </w:r>
    </w:p>
    <w:p w14:paraId="2E5D3099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我受县政府委托，向县人大常委会提出2024年财政决算报告和决算草案，请予审议。</w:t>
      </w:r>
    </w:p>
    <w:p w14:paraId="0D6D283D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一、关于2024年财政决算情况</w:t>
      </w:r>
    </w:p>
    <w:p w14:paraId="44B97BB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是实现“十四五”规划目标任务的关键一年。过去这一年，在县委、县政府的坚强领导下，在县人大的依法监督下，我们紧紧围绕全县经济社会发展目标，坚持稳中求进工作总基调，积极组织财政收入，优化支出结构，强化财政管理，确保财政资金使用效益最大化，较好地完成了全年财政工作任务，为全县经济社会发展提供了有力的财政保障。</w:t>
      </w:r>
    </w:p>
    <w:p w14:paraId="5E79EADA">
      <w:pPr>
        <w:spacing w:line="600" w:lineRule="exact"/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（一）一般公共预算执行情况</w:t>
      </w:r>
    </w:p>
    <w:p w14:paraId="2CF76774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般公共预算收入完成87,134万元，同比增长5.7%。加上市以上补助收入、上年结余收入、动用预算稳定调节基金、债务转贷收入等，收入总计357,180万元。一般公共预算支出完成283,270万元，同比增长2.4%，加上上解上级支出、债务还本支出、调出资金、结转下年继续使用专项支出等，支出总计357,180万元。收支相抵，实现收支平衡。</w:t>
      </w:r>
      <w:bookmarkStart w:id="0" w:name="_MON_1781176281"/>
      <w:bookmarkEnd w:id="0"/>
    </w:p>
    <w:p w14:paraId="6C3D7034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1" w:name="_MON_1812618432"/>
      <w:bookmarkEnd w:id="1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25" o:spt="75" type="#_x0000_t75" style="height:249.7pt;width:435.7pt;" o:ole="t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5">
            <o:LockedField>false</o:LockedField>
          </o:OLEObject>
        </w:objec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 w14:paraId="4077F078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从收入决算情况看税收收入完成61,432万元，同比增长4.9%，占一般公共预算收入的70.5%；非税收入完成25,702万元，同比增长7.9%，占一般公共预算收入的29.5%。</w:t>
      </w:r>
    </w:p>
    <w:p w14:paraId="10980A08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2" w:name="_MON_1781180916"/>
      <w:bookmarkEnd w:id="2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26" o:spt="75" type="#_x0000_t75" style="height:278.15pt;width:424.45pt;" o:ole="t" filled="f" o:preferrelative="f" stroked="f" coordsize="21600,21600">
            <v:path/>
            <v:fill on="f" focussize="0,0"/>
            <v:stroke on="f" joinstyle="miter"/>
            <v:imagedata r:id="rId8" o:title=""/>
            <o:lock v:ext="edit" aspectratio="f"/>
            <w10:wrap type="none"/>
            <w10:anchorlock/>
          </v:shape>
          <o:OLEObject Type="Embed" ProgID="Excel.Sheet.12" ShapeID="_x0000_i1026" DrawAspect="Content" ObjectID="_1468075726" r:id="rId7">
            <o:LockedField>false</o:LockedField>
          </o:OLEObject>
        </w:object>
      </w:r>
    </w:p>
    <w:p w14:paraId="041757C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从支出决算看，一般公共预算支出283,270万元；比年初预算282,226万元增加了1,044万元，主要是做预算时上级专项不提前告知，决算时含上级专项支出。</w:t>
      </w:r>
    </w:p>
    <w:p w14:paraId="62BC7879">
      <w:pPr>
        <w:ind w:left="640" w:hanging="640" w:hangingChars="200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3" w:name="_MON_1781194634"/>
      <w:bookmarkEnd w:id="3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27" o:spt="75" type="#_x0000_t75" style="height:170.3pt;width:425.3pt;" o:ole="t" filled="f" o:preferrelative="f" stroked="f" coordsize="21600,21600">
            <v:path/>
            <v:fill on="f" focussize="0,0"/>
            <v:stroke on="f" joinstyle="miter"/>
            <v:imagedata r:id="rId10" o:title=""/>
            <o:lock v:ext="edit" aspectratio="f"/>
            <w10:wrap type="none"/>
            <w10:anchorlock/>
          </v:shape>
          <o:OLEObject Type="Embed" ProgID="Excel.Sheet.12" ShapeID="_x0000_i1027" DrawAspect="Content" ObjectID="_1468075727" r:id="rId9">
            <o:LockedField>false</o:LockedField>
          </o:OLEObject>
        </w:objec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（二）政府性基金预算收支情况</w:t>
      </w:r>
    </w:p>
    <w:p w14:paraId="43554ED1">
      <w:pPr>
        <w:spacing w:line="600" w:lineRule="exact"/>
        <w:ind w:right="84" w:rightChars="40"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政府性基金收入完成20,018万元，同比增长148.4 %，加上市以上补助收入、地方政府专项债务转贷收入、调入资金、上年结余收入等，收入总计117,689万元。政府性基金支出完成80,116万元，同比增长405%，加上上解上级支出、地方政府专项债务还本支出、结转下年继续使用专项支出等，支出总计117,689万元。收支相抵，实现收支平衡。</w:t>
      </w:r>
    </w:p>
    <w:p w14:paraId="76D8A198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4" w:name="_MON_1781198988"/>
      <w:bookmarkEnd w:id="4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28" o:spt="75" type="#_x0000_t75" style="height:141.7pt;width:425.3pt;" o:ole="t" filled="f" o:preferrelative="f" stroked="f" coordsize="21600,21600">
            <v:path/>
            <v:fill on="f" focussize="0,0"/>
            <v:stroke on="f" joinstyle="miter"/>
            <v:imagedata r:id="rId12" o:title=""/>
            <o:lock v:ext="edit" aspectratio="f"/>
            <w10:wrap type="none"/>
            <w10:anchorlock/>
          </v:shape>
          <o:OLEObject Type="Embed" ProgID="Excel.Sheet.12" ShapeID="_x0000_i1028" DrawAspect="Content" ObjectID="_1468075728" r:id="rId11">
            <o:LockedField>false</o:LockedField>
          </o:OLEObject>
        </w:object>
      </w:r>
    </w:p>
    <w:p w14:paraId="29222705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5" w:name="_MON_1781199335"/>
      <w:bookmarkEnd w:id="5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29" o:spt="75" type="#_x0000_t75" style="height:129.7pt;width:425.3pt;" o:ole="t" filled="f" o:preferrelative="f" stroked="f" coordsize="21600,21600">
            <v:path/>
            <v:fill on="f" focussize="0,0"/>
            <v:stroke on="f" joinstyle="miter"/>
            <v:imagedata r:id="rId14" o:title=""/>
            <o:lock v:ext="edit" aspectratio="f"/>
            <w10:wrap type="none"/>
            <w10:anchorlock/>
          </v:shape>
          <o:OLEObject Type="Embed" ProgID="Excel.Sheet.12" ShapeID="_x0000_i1029" DrawAspect="Content" ObjectID="_1468075729" r:id="rId13">
            <o:LockedField>false</o:LockedField>
          </o:OLEObject>
        </w:object>
      </w:r>
    </w:p>
    <w:p w14:paraId="31321E6E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6" w:name="_MON_1781199636"/>
      <w:bookmarkEnd w:id="6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30" o:spt="75" type="#_x0000_t75" style="height:213pt;width:425.3pt;" o:ole="t" filled="f" o:preferrelative="f" stroked="f" coordsize="21600,21600">
            <v:path/>
            <v:fill on="f" focussize="0,0"/>
            <v:stroke on="f" joinstyle="miter"/>
            <v:imagedata r:id="rId16" o:title=""/>
            <o:lock v:ext="edit" aspectratio="f"/>
            <w10:wrap type="none"/>
            <w10:anchorlock/>
          </v:shape>
          <o:OLEObject Type="Embed" ProgID="Excel.Sheet.12" ShapeID="_x0000_i1030" DrawAspect="Content" ObjectID="_1468075730" r:id="rId15">
            <o:LockedField>false</o:LockedField>
          </o:OLEObject>
        </w:object>
      </w:r>
    </w:p>
    <w:p w14:paraId="745A4FA3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（三）国有资本经营预算收支情况</w:t>
      </w:r>
    </w:p>
    <w:p w14:paraId="46A6B85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国有资本经营预算收入完成655万元，加上市以上补助收入、上年结余，收入总计758万元，国有资本经营预算支出7万元，加上调出至一般公共预算统筹使用、结转下年继续使用专项支出，支出总计758万元。收支相抵，实现收支平衡。</w:t>
      </w:r>
    </w:p>
    <w:p w14:paraId="0BF1EB17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7" w:name="_MON_1781201269"/>
      <w:bookmarkEnd w:id="7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31" o:spt="75" type="#_x0000_t75" style="height:165.7pt;width:425.3pt;" o:ole="t" filled="f" o:preferrelative="f" stroked="f" coordsize="21600,21600">
            <v:path/>
            <v:fill on="f" focussize="0,0"/>
            <v:stroke on="f" joinstyle="miter"/>
            <v:imagedata r:id="rId18" o:title=""/>
            <o:lock v:ext="edit" aspectratio="f"/>
            <w10:wrap type="none"/>
            <w10:anchorlock/>
          </v:shape>
          <o:OLEObject Type="Embed" ProgID="Excel.Sheet.12" ShapeID="_x0000_i1031" DrawAspect="Content" ObjectID="_1468075731" r:id="rId17">
            <o:LockedField>false</o:LockedField>
          </o:OLEObject>
        </w:object>
      </w:r>
    </w:p>
    <w:p w14:paraId="2719C019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（四）社会保险基金预算收支情况</w:t>
      </w:r>
    </w:p>
    <w:p w14:paraId="05242F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社会保险基金收入完成45,808万元，同比增长8.6 %；支出完成43,861万元，同比增长4.6 %。当年收支结余1,947万元，滚存结余16,215万元。</w:t>
      </w:r>
    </w:p>
    <w:p w14:paraId="59C89416">
      <w:pPr>
        <w:rPr>
          <w:rFonts w:hint="default" w:ascii="Times New Roman" w:hAnsi="Times New Roman" w:eastAsia="仿宋" w:cs="Times New Roman"/>
          <w:sz w:val="32"/>
          <w:szCs w:val="32"/>
        </w:rPr>
      </w:pPr>
      <w:bookmarkStart w:id="8" w:name="_MON_1781202672"/>
      <w:bookmarkEnd w:id="8"/>
      <w:r>
        <w:rPr>
          <w:rFonts w:hint="default" w:ascii="Times New Roman" w:hAnsi="Times New Roman" w:eastAsia="仿宋" w:cs="Times New Roman"/>
          <w:sz w:val="32"/>
          <w:szCs w:val="32"/>
        </w:rPr>
        <w:object>
          <v:shape id="_x0000_i1032" o:spt="75" type="#_x0000_t75" style="height:170.15pt;width:425.15pt;" o:ole="t" filled="f" o:preferrelative="f" stroked="f" coordsize="21600,21600">
            <v:path/>
            <v:fill on="f" focussize="0,0"/>
            <v:stroke on="f" joinstyle="miter"/>
            <v:imagedata r:id="rId20" o:title=""/>
            <o:lock v:ext="edit" aspectratio="f"/>
            <w10:wrap type="none"/>
            <w10:anchorlock/>
          </v:shape>
          <o:OLEObject Type="Embed" ProgID="Excel.Sheet.12" ShapeID="_x0000_i1032" DrawAspect="Content" ObjectID="_1468075732" r:id="rId19">
            <o:LockedField>false</o:LockedField>
          </o:OLEObject>
        </w:object>
      </w:r>
    </w:p>
    <w:p w14:paraId="3C05D110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（五）政府债务情况</w:t>
      </w:r>
    </w:p>
    <w:p w14:paraId="1584C52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截止2024年末，我县债务余额合计293,154万元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其中：法定债务128,761万元，隐性债务75,659万元，市划县债务88,734万元。2024年债务还本付息共计完成24,054万元。</w:t>
      </w:r>
    </w:p>
    <w:p w14:paraId="0C659B04">
      <w:pPr>
        <w:spacing w:line="600" w:lineRule="exact"/>
        <w:ind w:right="84" w:rightChars="40"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二、落实县人大预算决议有关情况</w:t>
      </w:r>
    </w:p>
    <w:p w14:paraId="2C3835AD">
      <w:pPr>
        <w:spacing w:line="600" w:lineRule="exact"/>
        <w:ind w:right="84" w:rightChars="4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在县委、县政府的坚强领导下，在各职能部门的积极配合下，财政部门始终站在讲政治、顾大局、促发展、保稳定的高度，攻坚克难，主动应对各种困难挑战，维护经济发展稳定大局，认真贯彻落实上级财政经济政策，强化收入征管，优化支出结构，保障重点支出，以“三保”为着重点，积极创新思路，转变理财方式，全力围绕财政收支平衡，抓好各项工作。</w:t>
      </w:r>
    </w:p>
    <w:p w14:paraId="648812BB">
      <w:pPr>
        <w:numPr>
          <w:ilvl w:val="0"/>
          <w:numId w:val="1"/>
        </w:num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强化财源建设，努力增加财政收入</w:t>
      </w:r>
    </w:p>
    <w:p w14:paraId="1AB443A3">
      <w:p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稳定财政收入。依法组织各项收入，加大税收征管力度，持续做好重点税源监控，挖掘增收潜力，实现依法征收、应收尽收；加强非税收入征管，挖掘非税收入征收潜力，盘活国有资源（资产），全年国有资源（资产）有偿使用收入18,106万元、罚没收入4,039万元，有力促进了非税收入在地方财政收入中的积极作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争取向上支持。密切关注上级政策动态，积极向上级部门汇报我县经济社会发展情况和财政困难，争取更多的上级补助资金和项目支持，缓解我县财政收支压力。全年向上争取资金26.8亿元，其中专项债券6.2亿元，财政收支矛盾得以缓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提高闲置资金使用效率，全年盘活存量资金12,811万元，合理调度安排用于重点工作等急需支出。</w:t>
      </w:r>
    </w:p>
    <w:p w14:paraId="22364749">
      <w:pPr>
        <w:numPr>
          <w:ilvl w:val="0"/>
          <w:numId w:val="1"/>
        </w:num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优化支出结构，兜牢兜实三保底线</w:t>
      </w:r>
    </w:p>
    <w:p w14:paraId="330A16AA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坚持“三保”支出在预算编列中的优先顺序，足额安排“三保”支出预算。牢固树立过“紧日子”的思想，优化支出结构，压一般、保重点，腾出更多财力用于“三保”支出，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全年“三保”及其他刚性支出共计177,781万元，占一般公共预算支出62.8%，其中：“保民生”支出59,766万元，“保工资”支出66,030万元，“保运转” 支出5,781万元，其他刚性支出46,204万元，切实做好了“三保”工作、兜牢了“三保”底线。</w:t>
      </w:r>
    </w:p>
    <w:p w14:paraId="1F29BA71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（三）强化支出保障，保障重点项目建设</w:t>
      </w:r>
    </w:p>
    <w:p w14:paraId="75268102">
      <w:pPr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加大对民生领域的投入。坚持以人民为中心的发展思想，不断加大对民生领域的投入，着力解决人民群众关心的热点难点问题，提高人民群众的获得感、幸福感、安全感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全年助力提升医疗卫生水平，落实公共卫生和医疗保障政策共支出14,228万元；扎实做好社会保障工作，社会保障支出60,529万元，其中：机关事业单位养老金支出投入资金24,929万元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发放城乡居民基本养老保险投入资金7,865万元；持续加大财政投入力度支持教育高质量发展，共拨付教育支出28,443万元。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支持重点项目建设。围绕全县经济社会发展战略目标，积极筹措资金，支持重大基础设施、产业发展项目、乡村振兴项目等项目建设，为全县经济社会发展提供有力支撑。</w:t>
      </w:r>
    </w:p>
    <w:p w14:paraId="36DC679B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（四）深化财政改革，提高财政管理水平</w:t>
      </w:r>
    </w:p>
    <w:p w14:paraId="459D0D7F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零基预算改革。加强预算执行管理，牢固树立过“紧日子”理念，严格按照零基预算改革要求，打破基数概念和支出固化格局，综合财政财力水平、项目实际需求、各项目实施的轻重缓急程度、绩效情况及储备项目的成熟情况等因素，统筹编审预算，提高预算安排的精准性和有效性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加强国库集中支付管理。规范财政资金支付流程，严格控制预算调整和追加，强化预算约束，提高预算执行的严肃性，提高财政资金支付效率和安全性。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加强财政绩效管理。建立健全财政绩效管理制度，将绩效管理贯穿于财政资金分配、使用和监督全过程。加强绩效目标管理，开展绩效评价，强化评价结果应用，提高财政资金使用效益。</w:t>
      </w:r>
    </w:p>
    <w:p w14:paraId="4F10C47B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（五）防范运行风险，保持社会大局稳定</w:t>
      </w:r>
    </w:p>
    <w:p w14:paraId="1A094657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加强项目源头管控。增强底线思维和忧患意识，加强政府投资项目审批源头管控，严格落实财政承受能力评估论证、无资金来源、无预算不采购的规定，坚决杜绝脱离财力实际上项目，杜绝各类变相举债行为。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有效防范三保风险。全面落实“三保”支出保障责任，坚持“三保”支出在预算安排和库款调度上的优先顺序，健全“三保”预算执行动态监控机制，切实强化“三保”保障能力。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防范债务风险。积极筹措资金，按照政府债务预算按时偿还债务本息，确保债务还本付息没有缺口，牢牢守住债务风险底线，杜绝政府失信，维护政府的公信力。按计划完成年度化债任务，2024年偿还政府债务2.4亿元。</w:t>
      </w:r>
    </w:p>
    <w:p w14:paraId="1711C3C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任、副主任、各位委员，在县委、县政府的正确领导下，在县人大的依法监督下，我们将严格按照会议确定的财政工作目标，严控预算支出，压实主体责任，加强资金统筹使用，集中财力更好保障县委、县政府的重大战略部署。严格规范财政政策执行，强化组织收入，加强预算刚性约束，优化支出结构，积极发挥好财政职能作用，真正将过“紧日子”落到实处。</w:t>
      </w:r>
    </w:p>
    <w:p w14:paraId="04980E94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三、下一步工作思路</w:t>
      </w:r>
    </w:p>
    <w:p w14:paraId="5FBEED2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财政部门将认真贯彻落实人大意见和建议，认真履行财政职能，不断提升财政管理水平，为全县经济社会高质量发展提供更加坚强的财政保障。</w:t>
      </w:r>
    </w:p>
    <w:p w14:paraId="0B2BE955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楷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</w:rPr>
        <w:t>（一）聚焦目标任务，努力实现财政收入增长</w:t>
      </w:r>
    </w:p>
    <w:p w14:paraId="50F4A49A">
      <w:pPr>
        <w:pStyle w:val="5"/>
        <w:spacing w:before="0" w:beforeAutospacing="0" w:after="0" w:afterAutospacing="0" w:line="600" w:lineRule="exact"/>
        <w:ind w:firstLine="671" w:firstLineChars="20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强化协调联动征收。围绕年初收入预期目标，继续用好财税协同上下联动的协调机制，加大税收征管力度，持续做好重点税源监控，进一步堵塞收入漏洞，确保税收应收尽收。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坚持依法依规征缴。进一步对非税收入收费项目进行清理，严格按照规定足额收取行政事业性收费等非税收入，确保非税收入及时足额入库。</w:t>
      </w:r>
    </w:p>
    <w:p w14:paraId="39D61FD9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楷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</w:rPr>
        <w:t>（二）紧盯重点领域，全力保障经济安全运行</w:t>
      </w:r>
    </w:p>
    <w:p w14:paraId="06B1C5D9">
      <w:pPr>
        <w:pStyle w:val="5"/>
        <w:spacing w:before="0" w:beforeAutospacing="0" w:after="0" w:afterAutospacing="0" w:line="600" w:lineRule="exact"/>
        <w:ind w:firstLine="671" w:firstLineChars="20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防范化解债务风险。严格落实既定化债举措，逐步化解地方债务风险，关注债务率，确保债务率处于合理区间。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兜牢“三保”底线。将有限的财政资金始终向“保民生”、“保工资”、“保运转”等重点领域聚焦，为全县“三保”保障提供强有力的财政支持。</w:t>
      </w:r>
    </w:p>
    <w:p w14:paraId="7F52670E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楷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</w:rPr>
        <w:t>（三）加强预算管理，着力提升财政管理效能</w:t>
      </w:r>
    </w:p>
    <w:p w14:paraId="47700442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持续规范落实预算一体化平台应用，不断提升财政预算精细化管理水平。严格控制一般性支出和“三公”经费。进一步深化预算绩效管理改革，构建全方位、全过程、全覆盖的预算绩效管理体系。发挥财政监督职能作用。</w:t>
      </w:r>
    </w:p>
    <w:p w14:paraId="02AEEF24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主任、副主任、各位委员，2024年在县委、县政府的坚强领导下，在县人大及其常委会的监督和支持下，财政工作得以稳步推进。目前财政运行中存在的困难和挑战，我们将顶压奋进、攻坚克难，在县人大的依法监督，认真贯彻党中央及省市的有关工作部署，紧紧围绕中心工作和发展大局，不断提高财政保障服务水平，凝心聚力推动高质量发展，为全县经济社会发展作出更大的贡献。</w:t>
      </w:r>
    </w:p>
    <w:p w14:paraId="3737BC39">
      <w:pPr>
        <w:pStyle w:val="5"/>
        <w:spacing w:before="0" w:beforeAutospacing="0" w:after="0" w:afterAutospacing="0" w:line="600" w:lineRule="exact"/>
        <w:ind w:firstLine="668" w:firstLineChars="209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6987139D">
      <w:pPr>
        <w:pStyle w:val="5"/>
        <w:spacing w:before="0" w:beforeAutospacing="0" w:after="0" w:afterAutospacing="0" w:line="600" w:lineRule="exact"/>
        <w:ind w:firstLine="640" w:firstLineChars="200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83D372-F6C2-46D3-A3D2-CAB07E3DFF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164F194-7331-4AA7-9AD3-58C145894EDC}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0E87912-B093-4D62-9931-96C10B5604C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C6F7463-A1FD-44EA-92F8-256A94DB5F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8919989-68C7-414D-9583-FD916095CA4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7F4E930-5084-4B51-B8FD-EF35BB301CA4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97083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117583243"/>
                          </w:sdtPr>
                          <w:sdtContent>
                            <w:p w14:paraId="33ACA6BB"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10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1B73E4B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117583243"/>
                    </w:sdtPr>
                    <w:sdtContent>
                      <w:p w14:paraId="33ACA6BB"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10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1B73E4B4"/>
                </w:txbxContent>
              </v:textbox>
            </v:shape>
          </w:pict>
        </mc:Fallback>
      </mc:AlternateContent>
    </w:r>
  </w:p>
  <w:p w14:paraId="20FCD436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AFEA3"/>
    <w:multiLevelType w:val="singleLevel"/>
    <w:tmpl w:val="8F4AFEA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1YTkzMDYwYjk4NGNiMTE1MTdiZDRhM2E4ZmNjN2UifQ=="/>
  </w:docVars>
  <w:rsids>
    <w:rsidRoot w:val="00F840FA"/>
    <w:rsid w:val="00015353"/>
    <w:rsid w:val="00023164"/>
    <w:rsid w:val="00065949"/>
    <w:rsid w:val="0008096A"/>
    <w:rsid w:val="00083585"/>
    <w:rsid w:val="000A43A7"/>
    <w:rsid w:val="000A7EED"/>
    <w:rsid w:val="000B5B79"/>
    <w:rsid w:val="000C10C2"/>
    <w:rsid w:val="000D66AF"/>
    <w:rsid w:val="000F13A0"/>
    <w:rsid w:val="000F1A7B"/>
    <w:rsid w:val="000F37DD"/>
    <w:rsid w:val="00101F4B"/>
    <w:rsid w:val="00125E9B"/>
    <w:rsid w:val="001469C1"/>
    <w:rsid w:val="001560A8"/>
    <w:rsid w:val="001646FC"/>
    <w:rsid w:val="00165378"/>
    <w:rsid w:val="00170491"/>
    <w:rsid w:val="001725E8"/>
    <w:rsid w:val="0017555B"/>
    <w:rsid w:val="001A47ED"/>
    <w:rsid w:val="001B7F02"/>
    <w:rsid w:val="001F1396"/>
    <w:rsid w:val="001F575C"/>
    <w:rsid w:val="0020095E"/>
    <w:rsid w:val="0021003E"/>
    <w:rsid w:val="0021202B"/>
    <w:rsid w:val="00222D36"/>
    <w:rsid w:val="00225420"/>
    <w:rsid w:val="002270FD"/>
    <w:rsid w:val="002349DE"/>
    <w:rsid w:val="00242270"/>
    <w:rsid w:val="00280C45"/>
    <w:rsid w:val="00281854"/>
    <w:rsid w:val="002964A2"/>
    <w:rsid w:val="002A449E"/>
    <w:rsid w:val="002A6DEE"/>
    <w:rsid w:val="002C5CFD"/>
    <w:rsid w:val="002D4937"/>
    <w:rsid w:val="00300ABF"/>
    <w:rsid w:val="00301057"/>
    <w:rsid w:val="00317AC2"/>
    <w:rsid w:val="00330C4E"/>
    <w:rsid w:val="0033367B"/>
    <w:rsid w:val="0033561A"/>
    <w:rsid w:val="0034758F"/>
    <w:rsid w:val="00362842"/>
    <w:rsid w:val="003D6196"/>
    <w:rsid w:val="003D6231"/>
    <w:rsid w:val="003D7CEF"/>
    <w:rsid w:val="003E1AE1"/>
    <w:rsid w:val="003F4E0C"/>
    <w:rsid w:val="004011C0"/>
    <w:rsid w:val="00402D43"/>
    <w:rsid w:val="00415697"/>
    <w:rsid w:val="00425E34"/>
    <w:rsid w:val="00432FA2"/>
    <w:rsid w:val="00445E95"/>
    <w:rsid w:val="00451366"/>
    <w:rsid w:val="00452F10"/>
    <w:rsid w:val="004546AF"/>
    <w:rsid w:val="004852F7"/>
    <w:rsid w:val="00492C82"/>
    <w:rsid w:val="00493E82"/>
    <w:rsid w:val="004A2668"/>
    <w:rsid w:val="004A76CE"/>
    <w:rsid w:val="004B21B8"/>
    <w:rsid w:val="004B2B02"/>
    <w:rsid w:val="004B5862"/>
    <w:rsid w:val="005052A4"/>
    <w:rsid w:val="0052419C"/>
    <w:rsid w:val="00526CCA"/>
    <w:rsid w:val="00531AB9"/>
    <w:rsid w:val="00535B92"/>
    <w:rsid w:val="0054597C"/>
    <w:rsid w:val="00566576"/>
    <w:rsid w:val="005874E3"/>
    <w:rsid w:val="0059533E"/>
    <w:rsid w:val="005A6A91"/>
    <w:rsid w:val="005C0894"/>
    <w:rsid w:val="005D45E6"/>
    <w:rsid w:val="005D770C"/>
    <w:rsid w:val="005E300C"/>
    <w:rsid w:val="00600BDF"/>
    <w:rsid w:val="00616F3A"/>
    <w:rsid w:val="006170CB"/>
    <w:rsid w:val="00617EAB"/>
    <w:rsid w:val="00635841"/>
    <w:rsid w:val="00647AC6"/>
    <w:rsid w:val="00653461"/>
    <w:rsid w:val="00663BC7"/>
    <w:rsid w:val="00667BAE"/>
    <w:rsid w:val="00682270"/>
    <w:rsid w:val="006864EB"/>
    <w:rsid w:val="006B37CA"/>
    <w:rsid w:val="006B4D09"/>
    <w:rsid w:val="006C32C7"/>
    <w:rsid w:val="006C49B5"/>
    <w:rsid w:val="006D274D"/>
    <w:rsid w:val="006D5448"/>
    <w:rsid w:val="006D7720"/>
    <w:rsid w:val="007244D6"/>
    <w:rsid w:val="00730251"/>
    <w:rsid w:val="00735AEF"/>
    <w:rsid w:val="00756F12"/>
    <w:rsid w:val="00767027"/>
    <w:rsid w:val="00772C65"/>
    <w:rsid w:val="007968A5"/>
    <w:rsid w:val="007A0846"/>
    <w:rsid w:val="007A2F59"/>
    <w:rsid w:val="007A752C"/>
    <w:rsid w:val="007D18A8"/>
    <w:rsid w:val="007D4D20"/>
    <w:rsid w:val="007E09AC"/>
    <w:rsid w:val="007F5D76"/>
    <w:rsid w:val="00822E1A"/>
    <w:rsid w:val="00830570"/>
    <w:rsid w:val="00831A19"/>
    <w:rsid w:val="00846185"/>
    <w:rsid w:val="0085465D"/>
    <w:rsid w:val="0086006D"/>
    <w:rsid w:val="00883452"/>
    <w:rsid w:val="00885BA8"/>
    <w:rsid w:val="008A00E4"/>
    <w:rsid w:val="008B3D57"/>
    <w:rsid w:val="008B48C7"/>
    <w:rsid w:val="008B7935"/>
    <w:rsid w:val="008E5BF8"/>
    <w:rsid w:val="009013CC"/>
    <w:rsid w:val="009271FC"/>
    <w:rsid w:val="00931EA7"/>
    <w:rsid w:val="00983AF8"/>
    <w:rsid w:val="00985B58"/>
    <w:rsid w:val="009A0FC1"/>
    <w:rsid w:val="009B1C54"/>
    <w:rsid w:val="009C6C2E"/>
    <w:rsid w:val="009F30FA"/>
    <w:rsid w:val="00A176EB"/>
    <w:rsid w:val="00A17DAE"/>
    <w:rsid w:val="00A331AC"/>
    <w:rsid w:val="00A350B3"/>
    <w:rsid w:val="00A4191E"/>
    <w:rsid w:val="00A43F72"/>
    <w:rsid w:val="00A456AB"/>
    <w:rsid w:val="00A4621D"/>
    <w:rsid w:val="00A73D26"/>
    <w:rsid w:val="00A74815"/>
    <w:rsid w:val="00A762E9"/>
    <w:rsid w:val="00AA3C58"/>
    <w:rsid w:val="00AC5B47"/>
    <w:rsid w:val="00AF50FD"/>
    <w:rsid w:val="00B00CEC"/>
    <w:rsid w:val="00B0380F"/>
    <w:rsid w:val="00B11F31"/>
    <w:rsid w:val="00B1271E"/>
    <w:rsid w:val="00B13CFF"/>
    <w:rsid w:val="00B17C83"/>
    <w:rsid w:val="00B34509"/>
    <w:rsid w:val="00B36DD9"/>
    <w:rsid w:val="00B57212"/>
    <w:rsid w:val="00B62594"/>
    <w:rsid w:val="00B7050D"/>
    <w:rsid w:val="00B8257F"/>
    <w:rsid w:val="00BA772A"/>
    <w:rsid w:val="00BC3FF6"/>
    <w:rsid w:val="00BD3440"/>
    <w:rsid w:val="00BF5748"/>
    <w:rsid w:val="00C03382"/>
    <w:rsid w:val="00C3790A"/>
    <w:rsid w:val="00C5753E"/>
    <w:rsid w:val="00C746DB"/>
    <w:rsid w:val="00C94A12"/>
    <w:rsid w:val="00C9628F"/>
    <w:rsid w:val="00CA7802"/>
    <w:rsid w:val="00CB2348"/>
    <w:rsid w:val="00CC1454"/>
    <w:rsid w:val="00CD2C8B"/>
    <w:rsid w:val="00CD36B4"/>
    <w:rsid w:val="00CF6B08"/>
    <w:rsid w:val="00D06CB1"/>
    <w:rsid w:val="00D16258"/>
    <w:rsid w:val="00D22DFE"/>
    <w:rsid w:val="00D43E9B"/>
    <w:rsid w:val="00D45090"/>
    <w:rsid w:val="00D75325"/>
    <w:rsid w:val="00D86F09"/>
    <w:rsid w:val="00DA017F"/>
    <w:rsid w:val="00DA5068"/>
    <w:rsid w:val="00DA6AFB"/>
    <w:rsid w:val="00DC2954"/>
    <w:rsid w:val="00DF2F39"/>
    <w:rsid w:val="00DF4B18"/>
    <w:rsid w:val="00E133BC"/>
    <w:rsid w:val="00E14586"/>
    <w:rsid w:val="00E15D64"/>
    <w:rsid w:val="00E55DF9"/>
    <w:rsid w:val="00E56C62"/>
    <w:rsid w:val="00E75280"/>
    <w:rsid w:val="00E77376"/>
    <w:rsid w:val="00E87FF0"/>
    <w:rsid w:val="00EB2E00"/>
    <w:rsid w:val="00EB5AA0"/>
    <w:rsid w:val="00EE0F50"/>
    <w:rsid w:val="00EE20F0"/>
    <w:rsid w:val="00EF46B9"/>
    <w:rsid w:val="00F13B01"/>
    <w:rsid w:val="00F16C91"/>
    <w:rsid w:val="00F46674"/>
    <w:rsid w:val="00F708A0"/>
    <w:rsid w:val="00F775E9"/>
    <w:rsid w:val="00F83AA7"/>
    <w:rsid w:val="00F840FA"/>
    <w:rsid w:val="00F92A5B"/>
    <w:rsid w:val="00F97DFC"/>
    <w:rsid w:val="00FA10DF"/>
    <w:rsid w:val="00FE2426"/>
    <w:rsid w:val="00FE499A"/>
    <w:rsid w:val="0730396D"/>
    <w:rsid w:val="0B585CB3"/>
    <w:rsid w:val="0D494C15"/>
    <w:rsid w:val="14BD372B"/>
    <w:rsid w:val="15DB275F"/>
    <w:rsid w:val="1C292F7B"/>
    <w:rsid w:val="1CA26664"/>
    <w:rsid w:val="304A524D"/>
    <w:rsid w:val="3527743F"/>
    <w:rsid w:val="3BFF5180"/>
    <w:rsid w:val="3FE32092"/>
    <w:rsid w:val="428906EE"/>
    <w:rsid w:val="430C10BE"/>
    <w:rsid w:val="45E163D1"/>
    <w:rsid w:val="46F90C48"/>
    <w:rsid w:val="49657D57"/>
    <w:rsid w:val="49CD147E"/>
    <w:rsid w:val="4B632CB7"/>
    <w:rsid w:val="4D0258E3"/>
    <w:rsid w:val="7BD558E9"/>
    <w:rsid w:val="7C0602FD"/>
    <w:rsid w:val="7DA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jc w:val="left"/>
    </w:pPr>
    <w:rPr>
      <w:rFonts w:ascii="Verdana" w:hAnsi="Verdana" w:eastAsia="仿宋_GB2312" w:cs="Times New Roman"/>
      <w:kern w:val="0"/>
      <w:sz w:val="28"/>
      <w:szCs w:val="20"/>
      <w:lang w:eastAsia="en-US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F1BC10-EB8A-439B-A722-9161909158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3348</Words>
  <Characters>3608</Characters>
  <Lines>27</Lines>
  <Paragraphs>7</Paragraphs>
  <TotalTime>34</TotalTime>
  <ScaleCrop>false</ScaleCrop>
  <LinksUpToDate>false</LinksUpToDate>
  <CharactersWithSpaces>3614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2025-06-29T08:36:00Z</dcterms:created>
  <dc:creator>Administrator</dc:creator>
  <cp:lastModifiedBy>隋友朕</cp:lastModifiedBy>
  <cp:lastPrinted>2025-07-22T09:06:00Z</cp:lastPrinted>
  <dcterms:modified xsi:type="dcterms:W3CDTF">2025-07-23T06:43:09Z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E72A352583034C73B43D601144A6FE15_12</vt:lpwstr>
  </property>
  <property fmtid="{D5CDD505-2E9C-101B-9397-08002B2CF9AE}" pid="4" name="KSOTemplateDocerSaveRecord">
    <vt:lpwstr>eyJoZGlkIjoiYjM4MzI4YjJmNWViMWU1YWY3MzY0ZjlhYjhhNThlNDIiLCJ1c2VySWQiOiIxOTgxNTA0MjEifQ==</vt:lpwstr>
  </property>
</Properties>
</file>